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42" w:rsidRPr="0092416F" w:rsidRDefault="00562142" w:rsidP="00562142"/>
    <w:p w:rsidR="00DE37C2" w:rsidRPr="00DE37C2" w:rsidRDefault="00DE37C2" w:rsidP="00DE37C2">
      <w:pPr>
        <w:widowControl/>
        <w:shd w:val="clear" w:color="auto" w:fill="FFFFFF"/>
        <w:autoSpaceDE/>
        <w:autoSpaceDN/>
        <w:adjustRightInd/>
        <w:spacing w:after="377"/>
        <w:jc w:val="right"/>
        <w:textAlignment w:val="baseline"/>
        <w:rPr>
          <w:rFonts w:ascii="Proxima Nova ExCn Rg" w:hAnsi="Proxima Nova ExCn Rg"/>
          <w:sz w:val="30"/>
          <w:szCs w:val="30"/>
        </w:rPr>
      </w:pPr>
      <w:r w:rsidRPr="00DE37C2">
        <w:rPr>
          <w:rFonts w:ascii="Proxima Nova ExCn Rg" w:hAnsi="Proxima Nova ExCn Rg"/>
          <w:sz w:val="30"/>
          <w:szCs w:val="30"/>
        </w:rPr>
        <w:t>Приложение 5 к Регламенту</w:t>
      </w:r>
    </w:p>
    <w:p w:rsidR="00562142" w:rsidRPr="0092416F" w:rsidRDefault="00562142" w:rsidP="00562142">
      <w:pPr>
        <w:widowControl/>
        <w:shd w:val="clear" w:color="auto" w:fill="FFFFFF"/>
        <w:autoSpaceDE/>
        <w:autoSpaceDN/>
        <w:adjustRightInd/>
        <w:spacing w:after="377"/>
        <w:jc w:val="center"/>
        <w:textAlignment w:val="baseline"/>
        <w:rPr>
          <w:rFonts w:ascii="Proxima Nova ExCn Rg" w:hAnsi="Proxima Nova ExCn Rg"/>
          <w:b/>
          <w:sz w:val="30"/>
          <w:szCs w:val="30"/>
        </w:rPr>
      </w:pPr>
      <w:r w:rsidRPr="0092416F">
        <w:rPr>
          <w:rFonts w:ascii="Proxima Nova ExCn Rg" w:hAnsi="Proxima Nova ExCn Rg"/>
          <w:b/>
          <w:sz w:val="30"/>
          <w:szCs w:val="30"/>
        </w:rPr>
        <w:t xml:space="preserve">Значения кодов для указания в поручениях при переводе </w:t>
      </w:r>
      <w:r w:rsidRPr="0092416F">
        <w:rPr>
          <w:rFonts w:ascii="Proxima Nova ExCn Rg" w:hAnsi="Proxima Nova ExCn Rg"/>
          <w:b/>
          <w:sz w:val="30"/>
          <w:szCs w:val="30"/>
          <w:u w:val="single"/>
        </w:rPr>
        <w:t xml:space="preserve">обособленных </w:t>
      </w:r>
      <w:r w:rsidRPr="0092416F">
        <w:rPr>
          <w:rFonts w:ascii="Proxima Nova ExCn Rg" w:hAnsi="Proxima Nova ExCn Rg"/>
          <w:b/>
          <w:sz w:val="30"/>
          <w:szCs w:val="30"/>
        </w:rPr>
        <w:t>ценных бумаг из депозитария в Регистратор и из Регистратора в депозитарий:</w:t>
      </w:r>
    </w:p>
    <w:p w:rsidR="00562142" w:rsidRPr="0092416F" w:rsidRDefault="00562142" w:rsidP="00562142">
      <w:pPr>
        <w:widowControl/>
        <w:shd w:val="clear" w:color="auto" w:fill="FFFFFF"/>
        <w:tabs>
          <w:tab w:val="num" w:pos="851"/>
        </w:tabs>
        <w:autoSpaceDE/>
        <w:autoSpaceDN/>
        <w:adjustRightInd/>
        <w:ind w:firstLine="567"/>
        <w:jc w:val="both"/>
        <w:textAlignment w:val="baseline"/>
        <w:rPr>
          <w:rFonts w:ascii="Proxima Nova ExCn Rg" w:hAnsi="Proxima Nova ExCn Rg"/>
          <w:sz w:val="28"/>
          <w:szCs w:val="28"/>
        </w:rPr>
      </w:pPr>
      <w:r w:rsidRPr="0092416F">
        <w:rPr>
          <w:rFonts w:ascii="Proxima Nova ExCn Rg" w:hAnsi="Proxima Nova ExCn Rg"/>
          <w:b/>
          <w:sz w:val="28"/>
          <w:szCs w:val="28"/>
        </w:rPr>
        <w:t>SGDY138 </w:t>
      </w:r>
      <w:r w:rsidRPr="0092416F">
        <w:rPr>
          <w:rFonts w:ascii="Proxima Nova ExCn Rg" w:hAnsi="Proxima Nova ExCn Rg"/>
          <w:sz w:val="28"/>
          <w:szCs w:val="28"/>
        </w:rPr>
        <w:t>— уведомление о передаче Российских ценных бумаг, в отношении которых депозитарию (регистратору), передавшему ценные бумаги для учета прав, </w:t>
      </w:r>
      <w:r w:rsidRPr="0092416F">
        <w:rPr>
          <w:rFonts w:ascii="Proxima Nova ExCn Rg" w:hAnsi="Proxima Nova ExCn Rg"/>
          <w:b/>
          <w:bCs/>
          <w:sz w:val="28"/>
          <w:szCs w:val="28"/>
          <w:bdr w:val="none" w:sz="0" w:space="0" w:color="auto" w:frame="1"/>
        </w:rPr>
        <w:t>не были представлены документы</w:t>
      </w:r>
      <w:r w:rsidRPr="0092416F">
        <w:rPr>
          <w:rFonts w:ascii="Proxima Nova ExCn Rg" w:hAnsi="Proxima Nova ExCn Rg"/>
          <w:sz w:val="28"/>
          <w:szCs w:val="28"/>
        </w:rPr>
        <w:t>, подтверждающие несоответствие передаваемых ценных бумаг установленным Указом № 138 критериям (счет владельца, переводятся обособленные ценные бумаги, так как документы не предоставлены);</w:t>
      </w:r>
    </w:p>
    <w:p w:rsidR="00562142" w:rsidRPr="0092416F" w:rsidRDefault="00562142" w:rsidP="00562142">
      <w:pPr>
        <w:widowControl/>
        <w:shd w:val="clear" w:color="auto" w:fill="FFFFFF"/>
        <w:tabs>
          <w:tab w:val="num" w:pos="851"/>
        </w:tabs>
        <w:autoSpaceDE/>
        <w:autoSpaceDN/>
        <w:adjustRightInd/>
        <w:spacing w:after="120"/>
        <w:ind w:firstLine="567"/>
        <w:jc w:val="both"/>
        <w:textAlignment w:val="baseline"/>
        <w:rPr>
          <w:rFonts w:ascii="Proxima Nova ExCn Rg" w:hAnsi="Proxima Nova ExCn Rg"/>
          <w:sz w:val="28"/>
          <w:szCs w:val="28"/>
        </w:rPr>
      </w:pPr>
      <w:r w:rsidRPr="0092416F">
        <w:rPr>
          <w:rFonts w:ascii="Proxima Nova ExCn Rg" w:hAnsi="Proxima Nova ExCn Rg"/>
          <w:b/>
          <w:sz w:val="28"/>
          <w:szCs w:val="28"/>
        </w:rPr>
        <w:t>SGDYR </w:t>
      </w:r>
      <w:r w:rsidRPr="0092416F">
        <w:rPr>
          <w:rFonts w:ascii="Proxima Nova ExCn Rg" w:hAnsi="Proxima Nova ExCn Rg"/>
          <w:sz w:val="28"/>
          <w:szCs w:val="28"/>
        </w:rPr>
        <w:t xml:space="preserve">— уведомление о передаче ценных бумаг, в отношении которых депозитарию (регистратору), передавшему </w:t>
      </w:r>
      <w:bookmarkStart w:id="0" w:name="_GoBack"/>
      <w:bookmarkEnd w:id="0"/>
      <w:r w:rsidRPr="0092416F">
        <w:rPr>
          <w:rFonts w:ascii="Proxima Nova ExCn Rg" w:hAnsi="Proxima Nova ExCn Rg"/>
          <w:sz w:val="28"/>
          <w:szCs w:val="28"/>
        </w:rPr>
        <w:t>ценные бумаги для учета прав, </w:t>
      </w:r>
      <w:r w:rsidRPr="0092416F">
        <w:rPr>
          <w:rFonts w:ascii="Proxima Nova ExCn Rg" w:hAnsi="Proxima Nova ExCn Rg"/>
          <w:b/>
          <w:bCs/>
          <w:sz w:val="28"/>
          <w:szCs w:val="28"/>
          <w:bdr w:val="none" w:sz="0" w:space="0" w:color="auto" w:frame="1"/>
        </w:rPr>
        <w:t>не были представлены документы</w:t>
      </w:r>
      <w:r w:rsidRPr="0092416F">
        <w:rPr>
          <w:rFonts w:ascii="Proxima Nova ExCn Rg" w:hAnsi="Proxima Nova ExCn Rg"/>
          <w:sz w:val="28"/>
          <w:szCs w:val="28"/>
        </w:rPr>
        <w:t>, подтверждающие несоответствие передаваемых ценных бумаг критериям для ведения обособленного учёта, установленным предписаниями Банка России или по иным основаниям (счет ДУ, переводятся обособленные ценные бумаги, так как документы не предоставлены);</w:t>
      </w:r>
    </w:p>
    <w:p w:rsidR="00562142" w:rsidRPr="0092416F" w:rsidRDefault="00562142" w:rsidP="00562142">
      <w:pPr>
        <w:widowControl/>
        <w:shd w:val="clear" w:color="auto" w:fill="FFFFFF"/>
        <w:tabs>
          <w:tab w:val="num" w:pos="851"/>
        </w:tabs>
        <w:autoSpaceDE/>
        <w:autoSpaceDN/>
        <w:adjustRightInd/>
        <w:spacing w:after="120"/>
        <w:ind w:firstLine="567"/>
        <w:jc w:val="both"/>
        <w:textAlignment w:val="baseline"/>
        <w:rPr>
          <w:rFonts w:ascii="Proxima Nova ExCn Rg" w:hAnsi="Proxima Nova ExCn Rg"/>
          <w:sz w:val="28"/>
          <w:szCs w:val="28"/>
        </w:rPr>
      </w:pPr>
      <w:r w:rsidRPr="0092416F">
        <w:rPr>
          <w:rFonts w:ascii="Proxima Nova ExCn Rg" w:hAnsi="Proxima Nova ExCn Rg"/>
          <w:b/>
          <w:sz w:val="28"/>
          <w:szCs w:val="28"/>
        </w:rPr>
        <w:t>SGDV138</w:t>
      </w:r>
      <w:r w:rsidRPr="0092416F">
        <w:rPr>
          <w:rFonts w:ascii="Proxima Nova ExCn Rg" w:hAnsi="Proxima Nova ExCn Rg"/>
          <w:sz w:val="28"/>
          <w:szCs w:val="28"/>
        </w:rPr>
        <w:t xml:space="preserve"> — заверение о проведенной депозитарием (регистратором), передавшим Российские ценные бумаги для учета прав, проверке оснований для проведения операции списания и обоснованности ведения в отношении передаваемых Российских ценных бумаг обособленного учета, в том числе, когда заверение о необходимости ведения обособленного учета указанных ценных бумаг получено им от другого депозитария (от регистратора)</w:t>
      </w:r>
      <w:r w:rsidRPr="0092416F">
        <w:t xml:space="preserve"> </w:t>
      </w:r>
      <w:r w:rsidRPr="0092416F">
        <w:rPr>
          <w:rFonts w:ascii="Proxima Nova ExCn Rg" w:hAnsi="Proxima Nova ExCn Rg"/>
          <w:sz w:val="28"/>
          <w:szCs w:val="28"/>
        </w:rPr>
        <w:t>(счет владельца, переводятся обособленные ценные бумаги, документы проверены);</w:t>
      </w:r>
    </w:p>
    <w:p w:rsidR="00562142" w:rsidRPr="0092416F" w:rsidRDefault="00562142" w:rsidP="00562142">
      <w:pPr>
        <w:widowControl/>
        <w:shd w:val="clear" w:color="auto" w:fill="FFFFFF"/>
        <w:tabs>
          <w:tab w:val="num" w:pos="851"/>
        </w:tabs>
        <w:autoSpaceDE/>
        <w:autoSpaceDN/>
        <w:adjustRightInd/>
        <w:spacing w:after="120"/>
        <w:ind w:firstLine="567"/>
        <w:jc w:val="both"/>
        <w:textAlignment w:val="baseline"/>
        <w:rPr>
          <w:rFonts w:ascii="Proxima Nova ExCn Rg" w:hAnsi="Proxima Nova ExCn Rg"/>
          <w:sz w:val="28"/>
          <w:szCs w:val="28"/>
        </w:rPr>
      </w:pPr>
      <w:r w:rsidRPr="0092416F">
        <w:rPr>
          <w:rFonts w:ascii="Proxima Nova ExCn Rg" w:hAnsi="Proxima Nova ExCn Rg"/>
          <w:b/>
          <w:sz w:val="28"/>
          <w:szCs w:val="28"/>
        </w:rPr>
        <w:t>SGDVR</w:t>
      </w:r>
      <w:r w:rsidRPr="0092416F">
        <w:rPr>
          <w:rFonts w:ascii="Proxima Nova ExCn Rg" w:hAnsi="Proxima Nova ExCn Rg"/>
          <w:sz w:val="28"/>
          <w:szCs w:val="28"/>
        </w:rPr>
        <w:t xml:space="preserve"> — заверение о проведенной депозитарием (регистратором), передавшим ценные бумаги для учета прав, проверке оснований для проведения операции списания и обоснованности ведения в отношении передаваемых ценных бумаг обособленного учета, в том числе когда заверение о необходимости ведения обособленного учета указанных ценных бумаг получено им от другого депозитария (от регистратора) в соответствии с критериями для ведения обособленного учёта, установленными предписаниями Банка России или по иным основаниям (счет ДУ, переводятся обособленные ценные бумаги, документы проверены).</w:t>
      </w:r>
    </w:p>
    <w:p w:rsidR="00562142" w:rsidRDefault="00562142" w:rsidP="00562142">
      <w:pPr>
        <w:widowControl/>
        <w:shd w:val="clear" w:color="auto" w:fill="FFFFFF"/>
        <w:autoSpaceDE/>
        <w:autoSpaceDN/>
        <w:adjustRightInd/>
        <w:spacing w:after="120"/>
        <w:ind w:firstLine="567"/>
        <w:jc w:val="center"/>
        <w:textAlignment w:val="baseline"/>
        <w:rPr>
          <w:rFonts w:ascii="Proxima Nova ExCn Rg" w:hAnsi="Proxima Nova ExCn Rg"/>
          <w:b/>
          <w:sz w:val="30"/>
          <w:szCs w:val="30"/>
        </w:rPr>
      </w:pPr>
    </w:p>
    <w:p w:rsidR="00562142" w:rsidRPr="0092416F" w:rsidRDefault="00562142" w:rsidP="00562142">
      <w:pPr>
        <w:widowControl/>
        <w:shd w:val="clear" w:color="auto" w:fill="FFFFFF"/>
        <w:autoSpaceDE/>
        <w:autoSpaceDN/>
        <w:adjustRightInd/>
        <w:spacing w:after="120"/>
        <w:ind w:firstLine="567"/>
        <w:jc w:val="center"/>
        <w:textAlignment w:val="baseline"/>
        <w:rPr>
          <w:rFonts w:ascii="Proxima Nova ExCn Rg" w:hAnsi="Proxima Nova ExCn Rg"/>
          <w:b/>
          <w:sz w:val="30"/>
          <w:szCs w:val="30"/>
        </w:rPr>
      </w:pPr>
      <w:r w:rsidRPr="0092416F">
        <w:rPr>
          <w:rFonts w:ascii="Proxima Nova ExCn Rg" w:hAnsi="Proxima Nova ExCn Rg"/>
          <w:b/>
          <w:sz w:val="30"/>
          <w:szCs w:val="30"/>
        </w:rPr>
        <w:t xml:space="preserve">Значения кодов для указания в поручениях при переводе </w:t>
      </w:r>
      <w:r w:rsidRPr="0092416F">
        <w:rPr>
          <w:rFonts w:ascii="Proxima Nova ExCn Rg" w:hAnsi="Proxima Nova ExCn Rg"/>
          <w:b/>
          <w:sz w:val="30"/>
          <w:szCs w:val="30"/>
          <w:u w:val="single"/>
        </w:rPr>
        <w:t>необособленных</w:t>
      </w:r>
      <w:r w:rsidRPr="0092416F">
        <w:rPr>
          <w:rFonts w:ascii="Proxima Nova ExCn Rg" w:hAnsi="Proxima Nova ExCn Rg"/>
          <w:b/>
          <w:sz w:val="30"/>
          <w:szCs w:val="30"/>
        </w:rPr>
        <w:t xml:space="preserve"> ценных бумаг из депозитария в Регистратор и из Регистратора в депозитарий:</w:t>
      </w:r>
    </w:p>
    <w:p w:rsidR="00562142" w:rsidRPr="0092416F" w:rsidRDefault="00562142" w:rsidP="00562142">
      <w:pPr>
        <w:widowControl/>
        <w:shd w:val="clear" w:color="auto" w:fill="FFFFFF"/>
        <w:tabs>
          <w:tab w:val="num" w:pos="851"/>
        </w:tabs>
        <w:autoSpaceDE/>
        <w:autoSpaceDN/>
        <w:adjustRightInd/>
        <w:spacing w:after="120"/>
        <w:ind w:firstLine="567"/>
        <w:jc w:val="both"/>
        <w:textAlignment w:val="baseline"/>
        <w:rPr>
          <w:rFonts w:ascii="Proxima Nova ExCn Rg" w:hAnsi="Proxima Nova ExCn Rg"/>
          <w:sz w:val="28"/>
          <w:szCs w:val="28"/>
        </w:rPr>
      </w:pPr>
      <w:r w:rsidRPr="0092416F">
        <w:rPr>
          <w:rFonts w:ascii="Proxima Nova ExCn Rg" w:hAnsi="Proxima Nova ExCn Rg"/>
          <w:b/>
          <w:sz w:val="28"/>
          <w:szCs w:val="28"/>
        </w:rPr>
        <w:t>SGDN </w:t>
      </w:r>
      <w:r w:rsidRPr="0092416F">
        <w:rPr>
          <w:rFonts w:ascii="Proxima Nova ExCn Rg" w:hAnsi="Proxima Nova ExCn Rg"/>
          <w:sz w:val="28"/>
          <w:szCs w:val="28"/>
        </w:rPr>
        <w:t>— заверение </w:t>
      </w:r>
      <w:r w:rsidRPr="0092416F">
        <w:rPr>
          <w:rFonts w:ascii="Proxima Nova ExCn Rg" w:hAnsi="Proxima Nova ExCn Rg"/>
          <w:b/>
          <w:bCs/>
          <w:sz w:val="28"/>
          <w:szCs w:val="28"/>
          <w:bdr w:val="none" w:sz="0" w:space="0" w:color="auto" w:frame="1"/>
        </w:rPr>
        <w:t>о проведенной</w:t>
      </w:r>
      <w:r w:rsidRPr="0092416F">
        <w:rPr>
          <w:rFonts w:ascii="Proxima Nova ExCn Rg" w:hAnsi="Proxima Nova ExCn Rg"/>
          <w:sz w:val="28"/>
          <w:szCs w:val="28"/>
        </w:rPr>
        <w:t> депозитарием (регистратором), передавшим ценные бумаги для учета прав, </w:t>
      </w:r>
      <w:r w:rsidRPr="0092416F">
        <w:rPr>
          <w:rFonts w:ascii="Proxima Nova ExCn Rg" w:hAnsi="Proxima Nova ExCn Rg"/>
          <w:b/>
          <w:bCs/>
          <w:sz w:val="28"/>
          <w:szCs w:val="28"/>
          <w:bdr w:val="none" w:sz="0" w:space="0" w:color="auto" w:frame="1"/>
        </w:rPr>
        <w:t>проверке представленных документов и сведений, подтверждающих отсутствие оснований</w:t>
      </w:r>
      <w:r w:rsidRPr="0092416F">
        <w:rPr>
          <w:rFonts w:ascii="Proxima Nova ExCn Rg" w:hAnsi="Proxima Nova ExCn Rg"/>
          <w:sz w:val="28"/>
          <w:szCs w:val="28"/>
        </w:rPr>
        <w:t> для ведения в отношении передаваемых ценных бумаг обособленного учета, в том числе, когда заверение об отсутствии оснований для ведения обособленного учета указанных ценных бумаг получено им от другого депозитария (от регистратора)</w:t>
      </w:r>
      <w:r w:rsidRPr="0092416F">
        <w:t xml:space="preserve"> (</w:t>
      </w:r>
      <w:r w:rsidRPr="0092416F">
        <w:rPr>
          <w:rFonts w:ascii="Proxima Nova ExCn Rg" w:hAnsi="Proxima Nova ExCn Rg"/>
          <w:sz w:val="28"/>
          <w:szCs w:val="28"/>
        </w:rPr>
        <w:t>переводятся не обособленные ценные бумаги).</w:t>
      </w:r>
    </w:p>
    <w:p w:rsidR="00580429" w:rsidRDefault="00580429" w:rsidP="00562142">
      <w:pPr>
        <w:widowControl/>
        <w:autoSpaceDE/>
        <w:autoSpaceDN/>
        <w:adjustRightInd/>
      </w:pPr>
    </w:p>
    <w:sectPr w:rsidR="00580429" w:rsidSect="00DE37C2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ExCn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6F"/>
    <w:rsid w:val="00203C8A"/>
    <w:rsid w:val="00562142"/>
    <w:rsid w:val="00580429"/>
    <w:rsid w:val="00A3346F"/>
    <w:rsid w:val="00B40BDA"/>
    <w:rsid w:val="00DE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EF35"/>
  <w15:chartTrackingRefBased/>
  <w15:docId w15:val="{616C8CFF-927C-4340-996A-89F63F8B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B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"АО РТ-Регистратор"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Галина Александровна</dc:creator>
  <cp:keywords/>
  <dc:description/>
  <cp:lastModifiedBy>Петрова Галина Александровна</cp:lastModifiedBy>
  <cp:revision>5</cp:revision>
  <cp:lastPrinted>2026-03-11T13:33:00Z</cp:lastPrinted>
  <dcterms:created xsi:type="dcterms:W3CDTF">2026-02-26T10:43:00Z</dcterms:created>
  <dcterms:modified xsi:type="dcterms:W3CDTF">2026-03-11T14:48:00Z</dcterms:modified>
</cp:coreProperties>
</file>